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9664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МКУ "УО КАНСКОГО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Арефьевская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Н.А. Лызганова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Н.А. Лызганова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"Арефьевская ООШ"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Кузьминых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21-од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3698759)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д. Арефьевка,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966416" w:id="5"/>
    <w:p>
      <w:pPr>
        <w:sectPr>
          <w:pgSz w:w="11906" w:h="16383" w:orient="portrait"/>
        </w:sectPr>
      </w:pPr>
    </w:p>
    <w:bookmarkEnd w:id="5"/>
    <w:bookmarkEnd w:id="0"/>
    <w:bookmarkStart w:name="block-279664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7966415" w:id="8"/>
    <w:p>
      <w:pPr>
        <w:sectPr>
          <w:pgSz w:w="11906" w:h="16383" w:orient="portrait"/>
        </w:sectPr>
      </w:pPr>
    </w:p>
    <w:bookmarkEnd w:id="8"/>
    <w:bookmarkEnd w:id="6"/>
    <w:bookmarkStart w:name="block-2796641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7966410" w:id="10"/>
    <w:p>
      <w:pPr>
        <w:sectPr>
          <w:pgSz w:w="11906" w:h="16383" w:orient="portrait"/>
        </w:sectPr>
      </w:pPr>
    </w:p>
    <w:bookmarkEnd w:id="10"/>
    <w:bookmarkEnd w:id="9"/>
    <w:bookmarkStart w:name="block-2796641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7966411" w:id="13"/>
    <w:p>
      <w:pPr>
        <w:sectPr>
          <w:pgSz w:w="11906" w:h="16383" w:orient="portrait"/>
        </w:sectPr>
      </w:pPr>
    </w:p>
    <w:bookmarkEnd w:id="13"/>
    <w:bookmarkEnd w:id="11"/>
    <w:bookmarkStart w:name="block-2796641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66412" w:id="15"/>
    <w:p>
      <w:pPr>
        <w:sectPr>
          <w:pgSz w:w="16383" w:h="11906" w:orient="landscape"/>
        </w:sectPr>
      </w:pPr>
    </w:p>
    <w:bookmarkEnd w:id="15"/>
    <w:bookmarkEnd w:id="14"/>
    <w:bookmarkStart w:name="block-279664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66413" w:id="17"/>
    <w:p>
      <w:pPr>
        <w:sectPr>
          <w:pgSz w:w="16383" w:h="11906" w:orient="landscape"/>
        </w:sectPr>
      </w:pPr>
    </w:p>
    <w:bookmarkEnd w:id="17"/>
    <w:bookmarkEnd w:id="16"/>
    <w:bookmarkStart w:name="block-2796641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 предметной линии учебников по вероятности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статистике И. Р. Высоцкого, И. В. Ященко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И. В. Ященко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https://workprogram.edsoo.ru/work-programs/3698759</w:t>
      </w:r>
      <w:bookmarkEnd w:id="23"/>
    </w:p>
    <w:bookmarkStart w:name="block-27966414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